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BC" w:rsidRDefault="002228BC" w:rsidP="0022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8BC" w:rsidRDefault="002228BC" w:rsidP="0022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228BC" w:rsidRDefault="002228BC" w:rsidP="0022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228BC" w:rsidRDefault="002228BC" w:rsidP="002228B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228BC" w:rsidRDefault="002228BC" w:rsidP="0022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228BC" w:rsidRDefault="002228BC" w:rsidP="0022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228BC" w:rsidRDefault="002228BC" w:rsidP="0022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665</w:t>
      </w:r>
    </w:p>
    <w:p w:rsidR="00C01AB8" w:rsidRPr="00097D11" w:rsidRDefault="002228BC" w:rsidP="0022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621AB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621A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31657">
        <w:rPr>
          <w:rFonts w:ascii="Times New Roman" w:hAnsi="Times New Roman" w:cs="Times New Roman"/>
          <w:b/>
          <w:sz w:val="28"/>
          <w:szCs w:val="28"/>
        </w:rPr>
        <w:t>к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>Бевзюк</w:t>
      </w:r>
      <w:proofErr w:type="spellEnd"/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На виконання рішен</w:t>
      </w:r>
      <w:r w:rsidR="008F6F1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окружного адміністративного суду</w:t>
      </w:r>
      <w:r w:rsidR="008F6F1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10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/21-а</w:t>
      </w:r>
      <w:r w:rsidR="008F6F1A">
        <w:rPr>
          <w:rFonts w:ascii="Times New Roman" w:hAnsi="Times New Roman" w:cs="Times New Roman"/>
          <w:sz w:val="28"/>
          <w:szCs w:val="28"/>
          <w:lang w:val="uk-UA"/>
        </w:rPr>
        <w:t xml:space="preserve">;  від 11 березня 2022 року у справі №120/17494/21-а,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0C2A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="004621A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21AB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4621AB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621AB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4621A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21AB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4621AB">
        <w:rPr>
          <w:rFonts w:ascii="Times New Roman" w:hAnsi="Times New Roman" w:cs="Times New Roman"/>
          <w:sz w:val="28"/>
          <w:szCs w:val="28"/>
          <w:lang w:val="uk-UA"/>
        </w:rPr>
        <w:t xml:space="preserve">368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0C2A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28BC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621AB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8F6F1A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8448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2022-04-13T09:55:00Z</cp:lastPrinted>
  <dcterms:created xsi:type="dcterms:W3CDTF">2022-04-11T05:46:00Z</dcterms:created>
  <dcterms:modified xsi:type="dcterms:W3CDTF">2022-04-15T11:10:00Z</dcterms:modified>
</cp:coreProperties>
</file>